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岗位及薪级</w:t>
      </w:r>
      <w:bookmarkStart w:id="0" w:name="_GoBack"/>
      <w:bookmarkEnd w:id="0"/>
    </w:p>
    <w:tbl>
      <w:tblPr>
        <w:tblW w:w="89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252"/>
        <w:gridCol w:w="1061"/>
        <w:gridCol w:w="1829"/>
        <w:gridCol w:w="1898"/>
        <w:gridCol w:w="1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年工资</w:t>
            </w:r>
          </w:p>
        </w:tc>
        <w:tc>
          <w:tcPr>
            <w:tcW w:w="1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120" w:afterAutospacing="0" w:line="45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语文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 w:firstLine="9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 w:firstLine="9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一学历为师范类院校全日制本科以上并持有高中教师资格证者，应届师范类院校本科毕业生符合条件的均可，有教学经验者有优先，待遇从优；热烈欢迎应届毕业硕士、博士研究生（优先，待遇从优）前来打拼精彩人生。</w:t>
            </w:r>
          </w:p>
        </w:tc>
        <w:tc>
          <w:tcPr>
            <w:tcW w:w="18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360" w:right="0" w:hanging="36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1、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应届本科毕业生可达：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5-15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万元；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360" w:right="0" w:hanging="36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2、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优秀教师或研究生可达：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5-20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万元；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360" w:right="0" w:hanging="36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3、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教研组长可达：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6-25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万元；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360" w:right="0" w:hanging="36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4、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教学负责人可达：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10-30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万元。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因学校社会认可度很高，学校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7年秋增加高中班级需增加高中教师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120" w:afterAutospacing="0" w:line="45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120" w:afterAutospacing="0" w:line="45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历史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2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120" w:afterAutospacing="0" w:line="45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2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120" w:afterAutospacing="0" w:line="45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120" w:afterAutospacing="0" w:line="45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120" w:afterAutospacing="0" w:line="45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120" w:afterAutospacing="0" w:line="45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120" w:afterAutospacing="0" w:line="45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120" w:afterAutospacing="0" w:line="45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120" w:afterAutospacing="0" w:line="45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3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部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岁以下，第一学历师范类专科（含专科）以上学历并持有初级或初级以上教师资格证者，普通话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语文科达二甲，非语文科达二乙水平，有教学经验者优先。</w:t>
            </w:r>
          </w:p>
        </w:tc>
        <w:tc>
          <w:tcPr>
            <w:tcW w:w="18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36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360" w:right="0" w:firstLine="0"/>
              <w:jc w:val="left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360" w:right="0" w:hanging="36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1、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应届毕业生可达：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3-8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360" w:right="0" w:hanging="36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2、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优秀教师可达：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4-12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万；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因学校社会认可度很高，学校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7年秋增加初中班级需增加初中教师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3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部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可达：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3-8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万元；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因学校社会认可度很高，学校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7年秋增加小学班级需增加小学教师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45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D2DB0"/>
    <w:rsid w:val="6A215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character" w:customStyle="1" w:styleId="7">
    <w:name w:val="click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2017-04-25T05:54:42Z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