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4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473"/>
        <w:gridCol w:w="1508"/>
        <w:gridCol w:w="694"/>
        <w:gridCol w:w="519"/>
        <w:gridCol w:w="1920"/>
        <w:gridCol w:w="1131"/>
        <w:gridCol w:w="1175"/>
        <w:gridCol w:w="868"/>
        <w:gridCol w:w="1100"/>
        <w:gridCol w:w="641"/>
        <w:gridCol w:w="1296"/>
        <w:gridCol w:w="567"/>
        <w:gridCol w:w="633"/>
        <w:gridCol w:w="13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Header/>
          <w:jc w:val="center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计划形式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Header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笔试内容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分值占比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面试对象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面试形式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分值占比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新敦颐学校高中教师计划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B0501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35岁及以下(1985年1月1日及以后出生）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具备高中及以上教师资格证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普通高中相对应教材内容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根据招聘职数按1:2的比例由高分到低分确定面试对象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硕士研究生及以上学历，年龄可放宽到40岁及以下（1980年1月1日及以后出生）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B0502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B0503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B0504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B0505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B0506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B0507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B0508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B0509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B0511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B0512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B0513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新敦颐学校高中教师高校毕业生计划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B0514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2020届高校毕业生，以及2018、2019届尚未落实工作单位的高校毕业生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试教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B0515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B0516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51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注：1.学历专业、教师资格证专业和职称证书专业不一致时，可选其中任意一项证书专业报考相应岗位；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51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2.符合（人社部发〔2020〕24号）文件条件的可暂不提供教师资格证书。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1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2020-05-27T09:10:01Z</dcterms:created>
  <dc:creator>Administrator</dc:creator>
  <cp:lastModifiedBy>河不烫</cp:lastModifiedBy>
  <dcterms:modified xsi:type="dcterms:W3CDTF">2020-05-27T09:11:52Z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