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附件</w:t>
      </w:r>
    </w:p>
    <w:p>
      <w:pPr>
        <w:jc w:val="left"/>
        <w:rPr>
          <w:rFonts w:hint="eastAsia" w:ascii="仿宋_GB2312" w:eastAsia="仿宋_GB2312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年邵阳市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科学技术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局所属事业单位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入围体检人员名单的公告</w:t>
      </w:r>
    </w:p>
    <w:p>
      <w:r>
        <w:t xml:space="preserve"> </w:t>
      </w:r>
    </w:p>
    <w:tbl>
      <w:tblPr>
        <w:tblStyle w:val="2"/>
        <w:tblW w:w="15135" w:type="dxa"/>
        <w:tblInd w:w="-2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60"/>
        <w:gridCol w:w="1530"/>
        <w:gridCol w:w="1560"/>
        <w:gridCol w:w="1620"/>
        <w:gridCol w:w="1500"/>
        <w:gridCol w:w="1230"/>
        <w:gridCol w:w="1290"/>
        <w:gridCol w:w="1290"/>
        <w:gridCol w:w="1470"/>
        <w:gridCol w:w="975"/>
        <w:gridCol w:w="9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eastAsia="zh-CN"/>
              </w:rPr>
              <w:t>招聘计划数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综合排名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是否入围体检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陈洁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2021020110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邵阳市科技事务中心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邵阳市科技事务中心</w:t>
            </w:r>
          </w:p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邵阳市科技事务中心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财务一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74.56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81.43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肖容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2021020203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89.2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72.90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81.05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何雨蝶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2021020201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88.3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73.10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80.70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罗煜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2021010710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电子信息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76.00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71.75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刘红飞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2021010704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58.5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放弃面试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姚海涛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2021010307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计算机一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92.6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73.40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83.00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汤帅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2021010329</w:t>
            </w: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79.9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缺考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633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05231"/>
    <w:rsid w:val="13D32FE7"/>
    <w:rsid w:val="15205231"/>
    <w:rsid w:val="55782BE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187</Words>
  <Characters>314</Characters>
  <Lines>0</Lines>
  <Paragraphs>0</Paragraphs>
  <TotalTime>13</TotalTime>
  <ScaleCrop>false</ScaleCrop>
  <LinksUpToDate>false</LinksUpToDate>
  <CharactersWithSpaces>315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2022-06-01T08:50:00Z</dcterms:created>
  <dc:creator>Administrator</dc:creator>
  <cp:lastModifiedBy>闭上眼睛嗨</cp:lastModifiedBy>
  <dcterms:modified xsi:type="dcterms:W3CDTF">2022-06-01T09:06:16Z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922365E670FD42CFBC7592FDDF2C709C</vt:lpwstr>
  </property>
</Properties>
</file>